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 xml:space="preserve">Chief Financial Officer, (or similar position)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563F84D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9" w:history="1">
              <w:r w:rsidR="00C33248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1CBF" w14:textId="77777777"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34420">
    <w:abstractNumId w:val="8"/>
  </w:num>
  <w:num w:numId="2" w16cid:durableId="902758590">
    <w:abstractNumId w:val="14"/>
  </w:num>
  <w:num w:numId="3" w16cid:durableId="279844877">
    <w:abstractNumId w:val="19"/>
  </w:num>
  <w:num w:numId="4" w16cid:durableId="1027369495">
    <w:abstractNumId w:val="6"/>
  </w:num>
  <w:num w:numId="5" w16cid:durableId="543251095">
    <w:abstractNumId w:val="5"/>
  </w:num>
  <w:num w:numId="6" w16cid:durableId="1644968823">
    <w:abstractNumId w:val="4"/>
  </w:num>
  <w:num w:numId="7" w16cid:durableId="907616755">
    <w:abstractNumId w:val="3"/>
  </w:num>
  <w:num w:numId="8" w16cid:durableId="507137374">
    <w:abstractNumId w:val="2"/>
  </w:num>
  <w:num w:numId="9" w16cid:durableId="657850879">
    <w:abstractNumId w:val="1"/>
  </w:num>
  <w:num w:numId="10" w16cid:durableId="1799491265">
    <w:abstractNumId w:val="0"/>
  </w:num>
  <w:num w:numId="11" w16cid:durableId="1241479055">
    <w:abstractNumId w:val="16"/>
  </w:num>
  <w:num w:numId="12" w16cid:durableId="70080193">
    <w:abstractNumId w:val="7"/>
  </w:num>
  <w:num w:numId="13" w16cid:durableId="506406432">
    <w:abstractNumId w:val="22"/>
  </w:num>
  <w:num w:numId="14" w16cid:durableId="431365394">
    <w:abstractNumId w:val="18"/>
  </w:num>
  <w:num w:numId="15" w16cid:durableId="1126856297">
    <w:abstractNumId w:val="13"/>
  </w:num>
  <w:num w:numId="16" w16cid:durableId="1051542639">
    <w:abstractNumId w:val="21"/>
  </w:num>
  <w:num w:numId="17" w16cid:durableId="1312446588">
    <w:abstractNumId w:val="9"/>
  </w:num>
  <w:num w:numId="18" w16cid:durableId="64380043">
    <w:abstractNumId w:val="17"/>
  </w:num>
  <w:num w:numId="19" w16cid:durableId="1680230111">
    <w:abstractNumId w:val="20"/>
  </w:num>
  <w:num w:numId="20" w16cid:durableId="610939761">
    <w:abstractNumId w:val="12"/>
  </w:num>
  <w:num w:numId="21" w16cid:durableId="1458640025">
    <w:abstractNumId w:val="16"/>
  </w:num>
  <w:num w:numId="22" w16cid:durableId="919867776">
    <w:abstractNumId w:val="14"/>
  </w:num>
  <w:num w:numId="23" w16cid:durableId="1143891112">
    <w:abstractNumId w:val="14"/>
  </w:num>
  <w:num w:numId="24" w16cid:durableId="1099177577">
    <w:abstractNumId w:val="14"/>
  </w:num>
  <w:num w:numId="25" w16cid:durableId="1503083810">
    <w:abstractNumId w:val="14"/>
  </w:num>
  <w:num w:numId="26" w16cid:durableId="1600795644">
    <w:abstractNumId w:val="14"/>
  </w:num>
  <w:num w:numId="27" w16cid:durableId="861170943">
    <w:abstractNumId w:val="9"/>
  </w:num>
  <w:num w:numId="28" w16cid:durableId="2019848749">
    <w:abstractNumId w:val="21"/>
  </w:num>
  <w:num w:numId="29" w16cid:durableId="1406755513">
    <w:abstractNumId w:val="7"/>
  </w:num>
  <w:num w:numId="30" w16cid:durableId="1341273407">
    <w:abstractNumId w:val="8"/>
  </w:num>
  <w:num w:numId="31" w16cid:durableId="140275055">
    <w:abstractNumId w:val="6"/>
  </w:num>
  <w:num w:numId="32" w16cid:durableId="323704368">
    <w:abstractNumId w:val="5"/>
  </w:num>
  <w:num w:numId="33" w16cid:durableId="1885171061">
    <w:abstractNumId w:val="4"/>
  </w:num>
  <w:num w:numId="34" w16cid:durableId="1079331794">
    <w:abstractNumId w:val="22"/>
  </w:num>
  <w:num w:numId="35" w16cid:durableId="60494112">
    <w:abstractNumId w:val="3"/>
  </w:num>
  <w:num w:numId="36" w16cid:durableId="1045909176">
    <w:abstractNumId w:val="2"/>
  </w:num>
  <w:num w:numId="37" w16cid:durableId="1386488384">
    <w:abstractNumId w:val="1"/>
  </w:num>
  <w:num w:numId="38" w16cid:durableId="95948881">
    <w:abstractNumId w:val="0"/>
  </w:num>
  <w:num w:numId="39" w16cid:durableId="1802531352">
    <w:abstractNumId w:val="17"/>
  </w:num>
  <w:num w:numId="40" w16cid:durableId="873418360">
    <w:abstractNumId w:val="20"/>
  </w:num>
  <w:num w:numId="41" w16cid:durableId="1801219984">
    <w:abstractNumId w:val="12"/>
  </w:num>
  <w:num w:numId="42" w16cid:durableId="880480871">
    <w:abstractNumId w:val="18"/>
  </w:num>
  <w:num w:numId="43" w16cid:durableId="1591158702">
    <w:abstractNumId w:val="13"/>
  </w:num>
  <w:num w:numId="44" w16cid:durableId="828522654">
    <w:abstractNumId w:val="15"/>
  </w:num>
  <w:num w:numId="45" w16cid:durableId="1363437384">
    <w:abstractNumId w:val="25"/>
  </w:num>
  <w:num w:numId="46" w16cid:durableId="1757432955">
    <w:abstractNumId w:val="23"/>
  </w:num>
  <w:num w:numId="47" w16cid:durableId="2641162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087C"/>
    <w:rsid w:val="001D26C7"/>
    <w:rsid w:val="001F4328"/>
    <w:rsid w:val="00276140"/>
    <w:rsid w:val="00276F53"/>
    <w:rsid w:val="00286D4C"/>
    <w:rsid w:val="002D61F6"/>
    <w:rsid w:val="00311BFE"/>
    <w:rsid w:val="00321389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33157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151"/>
    <w:rsid w:val="00AC64F1"/>
    <w:rsid w:val="00AE46E1"/>
    <w:rsid w:val="00AF2FC5"/>
    <w:rsid w:val="00B04EFA"/>
    <w:rsid w:val="00B05BB9"/>
    <w:rsid w:val="00B34878"/>
    <w:rsid w:val="00B463A4"/>
    <w:rsid w:val="00B46C37"/>
    <w:rsid w:val="00B5231B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33248"/>
    <w:rsid w:val="00C45646"/>
    <w:rsid w:val="00C72B7A"/>
    <w:rsid w:val="00C76D99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39F2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3466"/>
    <w:rsid w:val="00FD42FB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  <w:style w:type="paragraph" w:styleId="Revision">
    <w:name w:val="Revision"/>
    <w:hidden/>
    <w:uiPriority w:val="99"/>
    <w:semiHidden/>
    <w:rsid w:val="00C332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9CC8-2DC8-49FB-898F-BC364E07F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1568B-57CB-498D-AD68-3942A1D1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2022-06-21T14:50:00Z</dcterms:created>
  <dcterms:modified xsi:type="dcterms:W3CDTF">2024-07-26T21:29:00Z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2024-07-22T14:45:06Z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5b263308-dcaa-48b9-a54e-d6b060c52a4b</vt:lpwstr>
  </property>
  <property fmtid="{D5CDD505-2E9C-101B-9397-08002B2CF9AE}" pid="8" name="MSIP_Label_38f1469a-2c2a-4aee-b92b-090d4c5468ff_ContentBits">
    <vt:lpwstr>0</vt:lpwstr>
  </property>
  <property fmtid="{D5CDD505-2E9C-101B-9397-08002B2CF9AE}" pid="9" name="DocumentMSOLanguageID">
    <vt:lpwstr>msoLanguageIDEnglishUS</vt:lpwstr>
  </property>
</Properties>
</file>